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E77C9" w:rsidRDefault="00743295">
      <w:pPr>
        <w:rPr>
          <w:u w:val="single"/>
        </w:rPr>
      </w:pPr>
      <w:r>
        <w:rPr>
          <w:u w:val="single"/>
        </w:rPr>
        <w:t xml:space="preserve">RELAZIONE SUL BILANCIO 2023 </w:t>
      </w:r>
    </w:p>
    <w:p w14:paraId="00000002" w14:textId="77777777" w:rsidR="00DE77C9" w:rsidRDefault="00743295">
      <w:r>
        <w:t>Premesso che l’attività associativa e il tesseramento si svolgono per annualità scolastiche e non per annualità contabili, il che rende complesso valutare precisamente entrate e costi delle singole attività dal solo bilancio di esercizio annuale (ad esempi</w:t>
      </w:r>
      <w:r>
        <w:t xml:space="preserve">o sono entrate nel 2023 quote per corsi che verranno corrisposte ai professionisti a giugno 2024, abbiamo pagato o pagheremo nel 2024 prestazioni relative al 2023, non abbiamo ricevuto il rimborso di 800 euro per i soldi spesi per il progetto Make </w:t>
      </w:r>
      <w:proofErr w:type="spellStart"/>
      <w:r>
        <w:t>Arts</w:t>
      </w:r>
      <w:proofErr w:type="spellEnd"/>
      <w:r>
        <w:t xml:space="preserve"> Not</w:t>
      </w:r>
      <w:r>
        <w:t xml:space="preserve"> War), possiamo dire, anche per continuità con i bilanci precedenti, che l’associazione persegue il suo scopo con un sostanziale equilibrio di bilancio.  </w:t>
      </w:r>
    </w:p>
    <w:p w14:paraId="00000003" w14:textId="77777777" w:rsidR="00DE77C9" w:rsidRDefault="00743295">
      <w:r>
        <w:t>La principale voce di entrata rimane quella dei corsi e laboratori offerti agli associati, che frutta</w:t>
      </w:r>
      <w:r>
        <w:t>no un 7% circa di profitto che destiniamo alla scuola. Abbiamo finanziato un fondo di solidarietà per le gite e per acquisto di attrezzature scolastiche per 252€ e pagato l’ultima edizione cartacea del giornalino scolastico a gennaio 2023 per circa 600€. N</w:t>
      </w:r>
      <w:r>
        <w:t>on essendo stati spesi nel 2023 i rimanenti fondi sono stati/saranno utilizzati nel 2024 finanziando un corso di chitarra collettivo gratuito e l’affitto del teatro per i saggi dei corsi extracurricolari.</w:t>
      </w:r>
    </w:p>
    <w:p w14:paraId="00000004" w14:textId="77777777" w:rsidR="00DE77C9" w:rsidRDefault="00743295">
      <w:r>
        <w:t>Naturalmente non compaiono nel bilancio economico n</w:t>
      </w:r>
      <w:r>
        <w:t>umerose attività che vengono svolte gratuitamente a titolo di volontariato, che hanno un grande valore potenziale in termini di ore e numero di persone coinvolte, e che costituiscono la maggior parte del nostro impegno. Per alcune di queste attività trovia</w:t>
      </w:r>
      <w:r>
        <w:t xml:space="preserve">mo voci di spesa destinate per lo più all’acquisto di materiali, ad esempio per la realizzazione della panchina rossa, per le attività svolte in occasione della </w:t>
      </w:r>
      <w:proofErr w:type="spellStart"/>
      <w:r>
        <w:t>Civil</w:t>
      </w:r>
      <w:proofErr w:type="spellEnd"/>
      <w:r>
        <w:t xml:space="preserve"> Week e delle raccolte di abbigliamento. </w:t>
      </w:r>
    </w:p>
    <w:p w14:paraId="00000005" w14:textId="77777777" w:rsidR="00DE77C9" w:rsidRDefault="00743295">
      <w:r>
        <w:t>La principale voce di entrata non vincolata deri</w:t>
      </w:r>
      <w:r>
        <w:t>va dal tesseramento, che per scelta statutaria riguarda una sola quota per famiglia, indipendentemente dalle attività intraprese.  Quest’anno è stata particolarmente alta grazie alla comunicazione fatta in occasione della modifica dello statuto.</w:t>
      </w:r>
    </w:p>
    <w:p w14:paraId="00000006" w14:textId="77777777" w:rsidR="00DE77C9" w:rsidRDefault="00743295">
      <w:r>
        <w:t>Un’altra f</w:t>
      </w:r>
      <w:r>
        <w:t>onte di entrata importante è quella del margine aggiuntivo (differenza tra numero degli iscritti e compenso dovuto all’insegnante in base alle ore prestate) dell’attività di danze popolari che anche quest’anno ha avuto un deciso incremento di iscritti e pa</w:t>
      </w:r>
      <w:r>
        <w:t xml:space="preserve">rteciperà a diverse iniziative esterne (circa 1700 euro).  </w:t>
      </w:r>
    </w:p>
    <w:p w14:paraId="00000007" w14:textId="77777777" w:rsidR="00DE77C9" w:rsidRDefault="00743295">
      <w:r>
        <w:t>Raccolte fondi hanno riguardato: la festa di fine anno (poco più di 100€) e lo spettacolo della compagnia teatrale Fermenti Attici al Teatro Vittoria (a Sesto S.G.) che ha portato ad un’entrata, a</w:t>
      </w:r>
      <w:r>
        <w:t xml:space="preserve">l netto delle spese, di poco inferiore a €300. </w:t>
      </w:r>
    </w:p>
    <w:p w14:paraId="00000008" w14:textId="77777777" w:rsidR="00DE77C9" w:rsidRDefault="00743295">
      <w:r>
        <w:t>Per quanto riguarda il libretto storico ‘Il mio quartiere si chiama Precotto’ sono stati ceduti libretti a terzi per 375€ e distribuiti gratuitamente altri libretti a tutti i nuovi allievi in ingresso. Possia</w:t>
      </w:r>
      <w:r>
        <w:t>mo prevedere una ristampa con il contributo all’80% del municipio. Questo libretto e l’altro che abbiamo aiutato a finanziare su Crescenzago hanno avuto molto successo e risonanza cittadina facendoci conoscere in tutta Milano e presso importanti istituzion</w:t>
      </w:r>
      <w:r>
        <w:t>i.</w:t>
      </w:r>
    </w:p>
    <w:p w14:paraId="00000009" w14:textId="77777777" w:rsidR="00DE77C9" w:rsidRDefault="00743295">
      <w:r>
        <w:rPr>
          <w:u w:val="single"/>
        </w:rPr>
        <w:t>LE PRINCIPALI ATTIVITÀ SVOLTE E IN SVOLGIMENTO</w:t>
      </w:r>
      <w:r>
        <w:t xml:space="preserve">: </w:t>
      </w:r>
    </w:p>
    <w:p w14:paraId="0000000A" w14:textId="77777777" w:rsidR="00DE77C9" w:rsidRDefault="00743295">
      <w:r>
        <w:t xml:space="preserve">Come si evince dal bilancio l’associazione conta numerosi iscritti </w:t>
      </w:r>
    </w:p>
    <w:p w14:paraId="0000000B" w14:textId="77777777" w:rsidR="00DE77C9" w:rsidRDefault="00743295">
      <w:r>
        <w:t xml:space="preserve">I rapporti con gli insegnanti sono buoni e diversi hanno collaborato per la promozione della nostra panchina rossa e il Patto Educativo </w:t>
      </w:r>
      <w:r>
        <w:t xml:space="preserve">Territoriale che abbiamo promosso funziona benissimo dal punto di vista dei rapporti con i partner e dei rapporti con la rete nazionale delle scuole aperte. La scuola si è sobbarcata il notevole impegno della partecipazione al </w:t>
      </w:r>
      <w:r>
        <w:lastRenderedPageBreak/>
        <w:t xml:space="preserve">bando </w:t>
      </w:r>
      <w:r>
        <w:rPr>
          <w:i/>
        </w:rPr>
        <w:t xml:space="preserve">Make </w:t>
      </w:r>
      <w:proofErr w:type="spellStart"/>
      <w:r>
        <w:rPr>
          <w:i/>
        </w:rPr>
        <w:t>Arts</w:t>
      </w:r>
      <w:proofErr w:type="spellEnd"/>
      <w:r>
        <w:rPr>
          <w:i/>
        </w:rPr>
        <w:t xml:space="preserve"> Not War</w:t>
      </w:r>
      <w:r>
        <w:t xml:space="preserve"> ma da</w:t>
      </w:r>
      <w:r>
        <w:t xml:space="preserve"> settembre ha decisamente limitato il suo ruolo alla mera concessione degli spazi.</w:t>
      </w:r>
    </w:p>
    <w:p w14:paraId="0000000C" w14:textId="77777777" w:rsidR="00DE77C9" w:rsidRDefault="00743295">
      <w:r>
        <w:t>Proseguono gli incontri con coordinamento nazionale Scuole Aperte e partecipate che ci danno una forte motivazione a continuare la nostra battaglia per un migliore e recipro</w:t>
      </w:r>
      <w:r>
        <w:t>co rapporto tra scuola, genitori e cittadini e ci hanno visto protagonisti della bozza di accordo sottoposta al ministero dell’Istruzione.</w:t>
      </w:r>
    </w:p>
    <w:p w14:paraId="0000000D" w14:textId="77777777" w:rsidR="00DE77C9" w:rsidRDefault="00743295">
      <w:r>
        <w:t xml:space="preserve">Abbiamo aggiornato lo statuto superando la partecipazione prevista di ¾ degli associati e riallacciando rapporti con </w:t>
      </w:r>
      <w:r>
        <w:t>ex genitori.</w:t>
      </w:r>
    </w:p>
    <w:p w14:paraId="0000000E" w14:textId="77777777" w:rsidR="00DE77C9" w:rsidRDefault="00743295">
      <w:r>
        <w:t>Abbiamo collaborato attivamente con L’Albero della Musica per la creazione di un coro di adulti che funziona bene e sta crescendo.</w:t>
      </w:r>
    </w:p>
    <w:p w14:paraId="0000000F" w14:textId="77777777" w:rsidR="00DE77C9" w:rsidRDefault="00743295">
      <w:r>
        <w:t>ATTIVITÀ “STORICHE” – gestiamo con la mail, il sito, la pagina Facebook, WhatsApp e con Instagram la comunicazio</w:t>
      </w:r>
      <w:r>
        <w:t xml:space="preserve">ne sulle attività dell’associazione e dei partner del patto. </w:t>
      </w:r>
    </w:p>
    <w:p w14:paraId="00000010" w14:textId="77777777" w:rsidR="00DE77C9" w:rsidRDefault="00743295">
      <w:r>
        <w:t xml:space="preserve">Con due volontarie fisse, di cui una ex insegnante della Mattei, gestiamo la biblioteca di Mattei e aiutiamo quella di via Frigia. </w:t>
      </w:r>
    </w:p>
    <w:p w14:paraId="00000011" w14:textId="77777777" w:rsidR="00DE77C9" w:rsidRDefault="00743295">
      <w:r>
        <w:t>Per il giornalino scolastico la cui redazione è ora interament</w:t>
      </w:r>
      <w:r>
        <w:t xml:space="preserve">e realizzata dalla scuola abbiamo fatto la formazione necessaria all’insegnante Carriero perché potesse realizzare l’impaginazione con un gruppo di studenti. </w:t>
      </w:r>
    </w:p>
    <w:p w14:paraId="00000012" w14:textId="77777777" w:rsidR="00DE77C9" w:rsidRDefault="00743295">
      <w:r>
        <w:t>Gestiamo l’associazione con tutti gli obblighi fiscali e formali che ne derivano e che sono sempr</w:t>
      </w:r>
      <w:r>
        <w:t xml:space="preserve">e pesanti per coloro che se ne occupano </w:t>
      </w:r>
    </w:p>
    <w:p w14:paraId="00000013" w14:textId="77777777" w:rsidR="00DE77C9" w:rsidRDefault="00743295">
      <w:r>
        <w:t xml:space="preserve">Continuiamo l’attività molto apprezzata dei corsi di teatro e danze popolari che vedono sempre più iscritti, ragazzi e adulti. </w:t>
      </w:r>
    </w:p>
    <w:p w14:paraId="00000014" w14:textId="77777777" w:rsidR="00DE77C9" w:rsidRDefault="00743295">
      <w:r>
        <w:t>Abbiamo realizzato due raccolte di abbigliamento per L’armadio Magico e a novembre siam</w:t>
      </w:r>
      <w:r>
        <w:t xml:space="preserve">o riusciti anche ad avere una notevole attività di scambio. </w:t>
      </w:r>
    </w:p>
    <w:p w14:paraId="00000015" w14:textId="77777777" w:rsidR="00DE77C9" w:rsidRDefault="00743295">
      <w:r>
        <w:t xml:space="preserve">Abbiamo firmato patti di collaborazione con </w:t>
      </w:r>
      <w:proofErr w:type="spellStart"/>
      <w:r>
        <w:t>QuBi</w:t>
      </w:r>
      <w:proofErr w:type="spellEnd"/>
      <w:r>
        <w:t xml:space="preserve"> per la progettazione e realizzazione degli interventi dei prossimi anni e con Sanga per ottenere i locali sopra la palestra e realizzare attività </w:t>
      </w:r>
      <w:r>
        <w:t>inclusive.</w:t>
      </w:r>
    </w:p>
    <w:p w14:paraId="00000016" w14:textId="77777777" w:rsidR="00DE77C9" w:rsidRDefault="00743295">
      <w:r>
        <w:t xml:space="preserve">Supportiamo la scuola in occasione del campus di orientamento, che si è svolto fuori dalla scuola. </w:t>
      </w:r>
    </w:p>
    <w:p w14:paraId="00000017" w14:textId="77777777" w:rsidR="00DE77C9" w:rsidRDefault="00743295">
      <w:r>
        <w:t xml:space="preserve">Due membri del direttivo sostengono da più di un anno il Gruppo di Cammino del giovedì in collaborazione con ATS Milano. </w:t>
      </w:r>
    </w:p>
    <w:p w14:paraId="00000018" w14:textId="77777777" w:rsidR="00DE77C9" w:rsidRDefault="00743295">
      <w:r>
        <w:t>Partecipiamo alle inizi</w:t>
      </w:r>
      <w:r>
        <w:t xml:space="preserve">ative promosse da associazioni e gruppi del quartiere (dalla commemorazione del 2 novembre alle iniziative di </w:t>
      </w:r>
      <w:proofErr w:type="spellStart"/>
      <w:r>
        <w:t>ViPreGo</w:t>
      </w:r>
      <w:proofErr w:type="spellEnd"/>
      <w:r>
        <w:t>)</w:t>
      </w:r>
    </w:p>
    <w:p w14:paraId="00000019" w14:textId="77777777" w:rsidR="00DE77C9" w:rsidRDefault="00743295">
      <w:r>
        <w:t xml:space="preserve">EVENTI E PROGETTI </w:t>
      </w:r>
    </w:p>
    <w:p w14:paraId="0000001A" w14:textId="77777777" w:rsidR="00DE77C9" w:rsidRDefault="00743295">
      <w:r>
        <w:t>Abbiamo organizzato gli spettacoli teatrali dei vari gruppi di bambini, ragazzi e adulti presso il Teatro Villa e il T</w:t>
      </w:r>
      <w:r>
        <w:t>eatro Vittoria e lo faremo anche quest’anno.</w:t>
      </w:r>
    </w:p>
    <w:p w14:paraId="0000001B" w14:textId="77777777" w:rsidR="00DE77C9" w:rsidRDefault="00743295">
      <w:r>
        <w:t xml:space="preserve">La </w:t>
      </w:r>
      <w:proofErr w:type="spellStart"/>
      <w:r>
        <w:t>civil</w:t>
      </w:r>
      <w:proofErr w:type="spellEnd"/>
      <w:r>
        <w:t xml:space="preserve"> Week 2023 ci ha visti protagonisti della promozione di 11 eventi con 13 realtà della zona. Quest’anno prevediamo meno iniziative ma con ancora più stretto rapporto con i Partner del quartiere: </w:t>
      </w:r>
      <w:proofErr w:type="spellStart"/>
      <w:r>
        <w:t>ViPreGo</w:t>
      </w:r>
      <w:proofErr w:type="spellEnd"/>
      <w:r>
        <w:t xml:space="preserve">, </w:t>
      </w:r>
      <w:r>
        <w:t>Cooperativa Primo Maggio, Comitato di Quartiere Precotto.</w:t>
      </w:r>
    </w:p>
    <w:p w14:paraId="0000001C" w14:textId="77777777" w:rsidR="00DE77C9" w:rsidRDefault="00743295">
      <w:r>
        <w:lastRenderedPageBreak/>
        <w:t xml:space="preserve">Sicuramente replicheremo il concerto alla Chiesetta di Santa Maria Maddalena (a Precotto) e le danze popolari alla Cooperativa </w:t>
      </w:r>
      <w:proofErr w:type="gramStart"/>
      <w:r>
        <w:t>1 Maggio</w:t>
      </w:r>
      <w:proofErr w:type="gramEnd"/>
      <w:r>
        <w:t xml:space="preserve"> (Via </w:t>
      </w:r>
      <w:proofErr w:type="spellStart"/>
      <w:r>
        <w:t>Ruccellai</w:t>
      </w:r>
      <w:proofErr w:type="spellEnd"/>
      <w:r>
        <w:t>).</w:t>
      </w:r>
    </w:p>
    <w:p w14:paraId="0000001D" w14:textId="77777777" w:rsidR="00DE77C9" w:rsidRDefault="00743295">
      <w:r>
        <w:t>Abbiamo supportato diverse iniziative sul vol</w:t>
      </w:r>
      <w:r>
        <w:t>ontariato organizzate con il prof. Tortorella per diverse classi della secondaria e seguiremo un’iniziativa alla primaria di raccolta dell’abbigliamento.</w:t>
      </w:r>
    </w:p>
    <w:p w14:paraId="0000001E" w14:textId="77777777" w:rsidR="00DE77C9" w:rsidRDefault="00743295">
      <w:r>
        <w:t>Abbiamo realizzato la Panchina Rossa (contro il femminicidio e la violenza sulle donne) con un buon coinvolgimento di associazioni del territorio e di insegnanti e buona partecipazione di cittadini e la rappresentanza del Municipio2.</w:t>
      </w:r>
    </w:p>
    <w:p w14:paraId="0000001F" w14:textId="77777777" w:rsidR="00DE77C9" w:rsidRDefault="00743295">
      <w:r>
        <w:t>Riprenderemo in mano i</w:t>
      </w:r>
      <w:r>
        <w:t>l teatrino di Mattei per adattarlo ad una serie di attività rivolte alla scuola ma anche al quartiere. Possiamo fare un investimento in attrezzature necessarie agli spettacoli e utilizzarlo per le danze popolari, i laboratori teatrali, una nuova presentazi</w:t>
      </w:r>
      <w:r>
        <w:t>one del libretto storico che preveda anche dei video adatti ai bambini e proiettabili in classe e adatti agli adulti da utilizzare anche da parte del municipio.</w:t>
      </w:r>
    </w:p>
    <w:sectPr w:rsidR="00DE77C9">
      <w:headerReference w:type="even" r:id="rId6"/>
      <w:headerReference w:type="default" r:id="rId7"/>
      <w:headerReference w:type="firs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2938" w14:textId="77777777" w:rsidR="00743295" w:rsidRDefault="00743295" w:rsidP="00743295">
      <w:pPr>
        <w:spacing w:after="0"/>
      </w:pPr>
      <w:r>
        <w:separator/>
      </w:r>
    </w:p>
  </w:endnote>
  <w:endnote w:type="continuationSeparator" w:id="0">
    <w:p w14:paraId="035019C1" w14:textId="77777777" w:rsidR="00743295" w:rsidRDefault="00743295" w:rsidP="007432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7E47" w14:textId="77777777" w:rsidR="00743295" w:rsidRDefault="00743295" w:rsidP="00743295">
      <w:pPr>
        <w:spacing w:after="0"/>
      </w:pPr>
      <w:r>
        <w:separator/>
      </w:r>
    </w:p>
  </w:footnote>
  <w:footnote w:type="continuationSeparator" w:id="0">
    <w:p w14:paraId="23DC45A1" w14:textId="77777777" w:rsidR="00743295" w:rsidRDefault="00743295" w:rsidP="007432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E367" w14:textId="5641F3C2" w:rsidR="00743295" w:rsidRDefault="00743295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313F61" wp14:editId="74098DE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1430"/>
              <wp:wrapNone/>
              <wp:docPr id="2" name="Casella di testo 2" descr="Gruppo Banco BPM -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FBF4FB" w14:textId="14F1FCFB" w:rsidR="00743295" w:rsidRPr="00743295" w:rsidRDefault="00743295" w:rsidP="00743295">
                          <w:pPr>
                            <w:spacing w:after="0"/>
                            <w:rPr>
                              <w:rFonts w:ascii="Century" w:eastAsia="Century" w:hAnsi="Century" w:cs="Century"/>
                              <w:noProof/>
                              <w:color w:val="E7EC06"/>
                              <w:sz w:val="16"/>
                              <w:szCs w:val="16"/>
                            </w:rPr>
                          </w:pPr>
                          <w:r w:rsidRPr="00743295">
                            <w:rPr>
                              <w:rFonts w:ascii="Century" w:eastAsia="Century" w:hAnsi="Century" w:cs="Century"/>
                              <w:noProof/>
                              <w:color w:val="E7EC06"/>
                              <w:sz w:val="16"/>
                              <w:szCs w:val="16"/>
                            </w:rPr>
                            <w:t>Gruppo Banco BPM -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13F6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Gruppo Banco BPM - Uso Intern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18FBF4FB" w14:textId="14F1FCFB" w:rsidR="00743295" w:rsidRPr="00743295" w:rsidRDefault="00743295" w:rsidP="00743295">
                    <w:pPr>
                      <w:spacing w:after="0"/>
                      <w:rPr>
                        <w:rFonts w:ascii="Century" w:eastAsia="Century" w:hAnsi="Century" w:cs="Century"/>
                        <w:noProof/>
                        <w:color w:val="E7EC06"/>
                        <w:sz w:val="16"/>
                        <w:szCs w:val="16"/>
                      </w:rPr>
                    </w:pPr>
                    <w:r w:rsidRPr="00743295">
                      <w:rPr>
                        <w:rFonts w:ascii="Century" w:eastAsia="Century" w:hAnsi="Century" w:cs="Century"/>
                        <w:noProof/>
                        <w:color w:val="E7EC06"/>
                        <w:sz w:val="16"/>
                        <w:szCs w:val="16"/>
                      </w:rPr>
                      <w:t>Gruppo Banco BPM -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0EF1" w14:textId="56ACDE58" w:rsidR="00743295" w:rsidRDefault="00743295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DAABD6" wp14:editId="501E4DC8">
              <wp:simplePos x="7239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1430"/>
              <wp:wrapNone/>
              <wp:docPr id="3" name="Casella di testo 3" descr="Gruppo Banco BPM -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CC7E5" w14:textId="79AD8922" w:rsidR="00743295" w:rsidRPr="00743295" w:rsidRDefault="00743295" w:rsidP="00743295">
                          <w:pPr>
                            <w:spacing w:after="0"/>
                            <w:rPr>
                              <w:rFonts w:ascii="Century" w:eastAsia="Century" w:hAnsi="Century" w:cs="Century"/>
                              <w:noProof/>
                              <w:color w:val="E7EC06"/>
                              <w:sz w:val="16"/>
                              <w:szCs w:val="16"/>
                            </w:rPr>
                          </w:pPr>
                          <w:r w:rsidRPr="00743295">
                            <w:rPr>
                              <w:rFonts w:ascii="Century" w:eastAsia="Century" w:hAnsi="Century" w:cs="Century"/>
                              <w:noProof/>
                              <w:color w:val="E7EC06"/>
                              <w:sz w:val="16"/>
                              <w:szCs w:val="16"/>
                            </w:rPr>
                            <w:t>Gruppo Banco BPM -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AABD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Gruppo Banco BPM - Uso Intern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609CC7E5" w14:textId="79AD8922" w:rsidR="00743295" w:rsidRPr="00743295" w:rsidRDefault="00743295" w:rsidP="00743295">
                    <w:pPr>
                      <w:spacing w:after="0"/>
                      <w:rPr>
                        <w:rFonts w:ascii="Century" w:eastAsia="Century" w:hAnsi="Century" w:cs="Century"/>
                        <w:noProof/>
                        <w:color w:val="E7EC06"/>
                        <w:sz w:val="16"/>
                        <w:szCs w:val="16"/>
                      </w:rPr>
                    </w:pPr>
                    <w:r w:rsidRPr="00743295">
                      <w:rPr>
                        <w:rFonts w:ascii="Century" w:eastAsia="Century" w:hAnsi="Century" w:cs="Century"/>
                        <w:noProof/>
                        <w:color w:val="E7EC06"/>
                        <w:sz w:val="16"/>
                        <w:szCs w:val="16"/>
                      </w:rPr>
                      <w:t>Gruppo Banco BPM -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34CC" w14:textId="3B4B221E" w:rsidR="00743295" w:rsidRDefault="00743295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68A28D" wp14:editId="4A6496C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1430"/>
              <wp:wrapNone/>
              <wp:docPr id="1" name="Casella di testo 1" descr="Gruppo Banco BPM -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FB57F" w14:textId="78228E4B" w:rsidR="00743295" w:rsidRPr="00743295" w:rsidRDefault="00743295" w:rsidP="00743295">
                          <w:pPr>
                            <w:spacing w:after="0"/>
                            <w:rPr>
                              <w:rFonts w:ascii="Century" w:eastAsia="Century" w:hAnsi="Century" w:cs="Century"/>
                              <w:noProof/>
                              <w:color w:val="E7EC06"/>
                              <w:sz w:val="16"/>
                              <w:szCs w:val="16"/>
                            </w:rPr>
                          </w:pPr>
                          <w:r w:rsidRPr="00743295">
                            <w:rPr>
                              <w:rFonts w:ascii="Century" w:eastAsia="Century" w:hAnsi="Century" w:cs="Century"/>
                              <w:noProof/>
                              <w:color w:val="E7EC06"/>
                              <w:sz w:val="16"/>
                              <w:szCs w:val="16"/>
                            </w:rPr>
                            <w:t>Gruppo Banco BPM -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8A28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Gruppo Banco BPM - Uso Intern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053FB57F" w14:textId="78228E4B" w:rsidR="00743295" w:rsidRPr="00743295" w:rsidRDefault="00743295" w:rsidP="00743295">
                    <w:pPr>
                      <w:spacing w:after="0"/>
                      <w:rPr>
                        <w:rFonts w:ascii="Century" w:eastAsia="Century" w:hAnsi="Century" w:cs="Century"/>
                        <w:noProof/>
                        <w:color w:val="E7EC06"/>
                        <w:sz w:val="16"/>
                        <w:szCs w:val="16"/>
                      </w:rPr>
                    </w:pPr>
                    <w:r w:rsidRPr="00743295">
                      <w:rPr>
                        <w:rFonts w:ascii="Century" w:eastAsia="Century" w:hAnsi="Century" w:cs="Century"/>
                        <w:noProof/>
                        <w:color w:val="E7EC06"/>
                        <w:sz w:val="16"/>
                        <w:szCs w:val="16"/>
                      </w:rPr>
                      <w:t>Gruppo Banco BPM -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C9"/>
    <w:rsid w:val="00743295"/>
    <w:rsid w:val="00D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F03DC-D18F-47D0-B03D-1F2B14CD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0"/>
      <w:jc w:val="both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243F61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4329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6174</Characters>
  <Application>Microsoft Office Word</Application>
  <DocSecurity>4</DocSecurity>
  <Lines>51</Lines>
  <Paragraphs>14</Paragraphs>
  <ScaleCrop>false</ScaleCrop>
  <Company>Banco BPM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VIDA</dc:creator>
  <cp:lastModifiedBy>EMANUELA VIDA</cp:lastModifiedBy>
  <cp:revision>2</cp:revision>
  <dcterms:created xsi:type="dcterms:W3CDTF">2024-04-16T07:53:00Z</dcterms:created>
  <dcterms:modified xsi:type="dcterms:W3CDTF">2024-04-16T07:53:00Z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#e7ec06,8,Century</vt:lpwstr>
  </property>
  <property fmtid="{D5CDD505-2E9C-101B-9397-08002B2CF9AE}" pid="4" name="ClassificationContentMarkingHeaderText">
    <vt:lpwstr>Gruppo Banco BPM - Uso Interno</vt:lpwstr>
  </property>
  <property fmtid="{D5CDD505-2E9C-101B-9397-08002B2CF9AE}" pid="5" name="MSIP_Label_3dc11598-21dc-45a5-b378-419655b3caf2_Enabled">
    <vt:lpwstr>true</vt:lpwstr>
  </property>
  <property fmtid="{D5CDD505-2E9C-101B-9397-08002B2CF9AE}" pid="6" name="MSIP_Label_3dc11598-21dc-45a5-b378-419655b3caf2_SetDate">
    <vt:lpwstr>2024-04-16T07:53:45Z</vt:lpwstr>
  </property>
  <property fmtid="{D5CDD505-2E9C-101B-9397-08002B2CF9AE}" pid="7" name="MSIP_Label_3dc11598-21dc-45a5-b378-419655b3caf2_Method">
    <vt:lpwstr>Standard</vt:lpwstr>
  </property>
  <property fmtid="{D5CDD505-2E9C-101B-9397-08002B2CF9AE}" pid="8" name="MSIP_Label_3dc11598-21dc-45a5-b378-419655b3caf2_Name">
    <vt:lpwstr>Uso Interno</vt:lpwstr>
  </property>
  <property fmtid="{D5CDD505-2E9C-101B-9397-08002B2CF9AE}" pid="9" name="MSIP_Label_3dc11598-21dc-45a5-b378-419655b3caf2_SiteId">
    <vt:lpwstr>dfe794a4-c273-408a-92de-2566d5a8e56b</vt:lpwstr>
  </property>
  <property fmtid="{D5CDD505-2E9C-101B-9397-08002B2CF9AE}" pid="10" name="MSIP_Label_3dc11598-21dc-45a5-b378-419655b3caf2_ActionId">
    <vt:lpwstr>980b3d31-776a-49f2-899d-9ed277e86699</vt:lpwstr>
  </property>
  <property fmtid="{D5CDD505-2E9C-101B-9397-08002B2CF9AE}" pid="11" name="MSIP_Label_3dc11598-21dc-45a5-b378-419655b3caf2_ContentBits">
    <vt:lpwstr>1</vt:lpwstr>
  </property>
</Properties>
</file>